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00"/>
      </w:pPr>
      <w:r>
        <w:t xml:space="preserve">AVISO DE USO DE INTELIGENCIA ARTIFICIAL — COMERCIA DIGITAL</w:t>
      </w:r>
    </w:p>
    <w:p>
      <w:r>
        <w:rPr>
          <w:b/>
          <w:bCs/>
        </w:rPr>
        <w:t xml:space="preserve">Última actualización:</w:t>
      </w:r>
      <w:r>
        <w:t xml:space="preserve"> 26 de mayo de 2026
</w:t>
      </w:r>
      <w:r>
        <w:rPr>
          <w:b/>
          <w:bCs/>
        </w:rPr>
        <w:t xml:space="preserve">Responsable:</w:t>
      </w:r>
      <w:r>
        <w:t xml:space="preserve"> REINPIA SAS de CV (“ComerCia Digital”)</w:t>
      </w:r>
    </w:p>
    <w:p>
      <w:r>
        <w:t xml:space="preserve">El presente </w:t>
      </w:r>
      <w:r>
        <w:rPr>
          <w:b/>
          <w:bCs/>
        </w:rPr>
        <w:t xml:space="preserve">Aviso de Uso de Inteligencia Artificial</w:t>
      </w:r>
      <w:r>
        <w:t xml:space="preserve"> tiene como objetivo informar de manera transparente a los Clientes Comerciantes, Partners y Consumidores Finales sobre la integración, funcionamiento y alcance de las herramientas de Inteligencia Artificial (IA) dentro de la plataforma </w:t>
      </w:r>
      <w:r>
        <w:rPr>
          <w:b/>
          <w:bCs/>
        </w:rPr>
        <w:t xml:space="preserve">ComerCia Digital</w:t>
      </w:r>
      <w:r>
        <w:t xml:space="preserve">.</w:t>
      </w:r>
    </w:p>
    <w:p>
      <w:r>
        <w:t xml:space="preserve">Al utilizar nuestros servicios, usted reconoce y acepta que la plataforma opera mediante un ecosistema de agentes inteligentes diseñados para optimizar la gestión comercial, la seguridad y la experiencia de usuario. Dicho ecosistema es orquestado principalmente por </w:t>
      </w:r>
      <w:r>
        <w:rPr>
          <w:b/>
          <w:bCs/>
        </w:rPr>
        <w:t xml:space="preserve">KAKAO SYNC SYSTEM™</w:t>
      </w:r>
      <w:r>
        <w:t xml:space="preserve">, operado por </w:t>
      </w:r>
      <w:r>
        <w:rPr>
          <w:b/>
          <w:bCs/>
        </w:rPr>
        <w:t xml:space="preserve">REINPIA SAS</w:t>
      </w:r>
      <w:r>
        <w:t xml:space="preserve">, el cual funciona como un </w:t>
      </w:r>
      <w:r>
        <w:rPr>
          <w:b/>
          <w:bCs/>
        </w:rPr>
        <w:t xml:space="preserve">puente</w:t>
      </w:r>
      <w:r>
        <w:t xml:space="preserve"> entre (i) el catálogo, configuraciones y datos operativos del comercio (p. ej., productos, inventarios, precios, descripciones y políticas) y (ii) motores de respuesta y procesamiento de terceros (p. ej., modelos de lenguaje, servicios de clasificación, moderación y analítica), para habilitar la generación de recomendaciones, automatizaciones, alertas y respuestas dentro de la plataforma.</w:t>
      </w:r>
    </w:p>
    <w:p>
      <w:pPr>
        <w:pStyle w:val="Heading3"/>
        <w:spacing w:before="200"/>
      </w:pPr>
    </w:p>
    <w:p>
      <w:r>
        <w:t xml:space="preserve">La plataforma ComerCia Digital utiliza siete (7) agentes especializados de IA. A continuación, se detalla su función y el tratamiento de datos asociado:</w:t>
      </w:r>
    </w:p>
    <w:p>
      <w:pPr>
        <w:pStyle w:val="ListParagraph"/>
        <w:numPr>
          <w:ilvl w:val="0"/>
          <w:numId w:val="1"/>
        </w:numPr>
      </w:pPr>
      <w:r>
        <w:rPr>
          <w:b/>
          <w:bCs/>
        </w:rPr>
        <w:t xml:space="preserve">Agente Centinela (Detección de Fraude):</w:t>
      </w:r>
      <w:r>
        <w:t xml:space="preserve"> Analiza patrones de comportamiento, señales de riesgo, direcciones IP y datos de transacciones (incluyendo importes, método de pago e indicadores antifraude) en tiempo real para identificar posibles actividades fraudulentas o riesgosas, protegiendo tanto al comercio como al consumidor.</w:t>
      </w:r>
    </w:p>
    <w:p>
      <w:pPr>
        <w:pStyle w:val="ListParagraph"/>
        <w:numPr>
          <w:ilvl w:val="0"/>
          <w:numId w:val="1"/>
        </w:numPr>
      </w:pPr>
      <w:r>
        <w:rPr>
          <w:b/>
          <w:bCs/>
        </w:rPr>
        <w:t xml:space="preserve">Agente Moderador (Control de Contenido):</w:t>
      </w:r>
      <w:r>
        <w:t xml:space="preserve"> Supervisa automáticamente los catálogos, imágenes y descripciones cargadas por los comerciantes para ayudar a asegurar el cumplimiento de las políticas de uso y la legalidad vigente, evitando la publicación de contenido prohibido (p. ej., artículos restringidos, datos personales innecesarios o material ilícito).</w:t>
      </w:r>
    </w:p>
    <w:p>
      <w:pPr>
        <w:pStyle w:val="ListParagraph"/>
        <w:numPr>
          <w:ilvl w:val="0"/>
          <w:numId w:val="1"/>
        </w:numPr>
      </w:pPr>
      <w:r>
        <w:rPr>
          <w:b/>
          <w:bCs/>
        </w:rPr>
        <w:t xml:space="preserve">Agente Chatbot (Atención al Cliente):</w:t>
      </w:r>
      <w:r>
        <w:t xml:space="preserve"> Gestiona consultas de primer nivel de los consumidores finales mediante procesamiento de lenguaje natural, para resolver dudas frecuentes sobre productos, horarios, políticas y estados de pedidos; en su caso, deriva a soporte humano cuando detecta complejidad, reclamaciones o sensibilidad.</w:t>
      </w:r>
    </w:p>
    <w:p>
      <w:pPr>
        <w:pStyle w:val="ListParagraph"/>
        <w:numPr>
          <w:ilvl w:val="0"/>
          <w:numId w:val="1"/>
        </w:numPr>
      </w:pPr>
      <w:r>
        <w:rPr>
          <w:b/>
          <w:bCs/>
        </w:rPr>
        <w:t xml:space="preserve">Agente Predictivo (Precios Dinámicos):</w:t>
      </w:r>
      <w:r>
        <w:t xml:space="preserve"> Analiza tendencias internas (ventas históricas, inventarios, estacionalidad) y señales de demanda para sugerir ajustes de precios y promociones al Cliente Comerciante; dichas salidas son recomendaciones y no se aplican por sí mismas salvo configuración expresa del comercio.</w:t>
      </w:r>
    </w:p>
    <w:p>
      <w:pPr>
        <w:pStyle w:val="ListParagraph"/>
        <w:numPr>
          <w:ilvl w:val="0"/>
          <w:numId w:val="1"/>
        </w:numPr>
      </w:pPr>
      <w:r>
        <w:rPr>
          <w:b/>
          <w:bCs/>
        </w:rPr>
        <w:t xml:space="preserve">Agente de Marketing (Generación de Contenido):</w:t>
      </w:r>
      <w:r>
        <w:t xml:space="preserve"> Asiste en la creación de copys publicitarios, descripciones de productos optimizadas para SEO y estrategias de difusión basadas en el perfil de la audiencia y desempeño histórico de campañas, con el objetivo de mejorar conversión y posicionamiento.</w:t>
      </w:r>
    </w:p>
    <w:p>
      <w:pPr>
        <w:pStyle w:val="ListParagraph"/>
        <w:numPr>
          <w:ilvl w:val="0"/>
          <w:numId w:val="1"/>
        </w:numPr>
      </w:pPr>
      <w:r>
        <w:rPr>
          <w:b/>
          <w:bCs/>
        </w:rPr>
        <w:t xml:space="preserve">Agente de Fidelización (Loyalty):</w:t>
      </w:r>
      <w:r>
        <w:t xml:space="preserve"> Identifica patrones de compra de clientes recurrentes para sugerir programas de recompensas, cupones personalizados y acciones que aumenten el valor del ciclo de vida del cliente (p. ej., segmentación, recordatorios, beneficios por recurrencia).</w:t>
      </w:r>
    </w:p>
    <w:p>
      <w:pPr>
        <w:pStyle w:val="ListParagraph"/>
        <w:numPr>
          <w:ilvl w:val="0"/>
          <w:numId w:val="1"/>
        </w:numPr>
      </w:pPr>
      <w:r>
        <w:rPr>
          <w:b/>
          <w:bCs/>
        </w:rPr>
        <w:t xml:space="preserve">Agente Postventa (Soporte y Seguimiento):</w:t>
      </w:r>
      <w:r>
        <w:t xml:space="preserve"> Automatiza el seguimiento posterior a la entrega, solicitando reseñas, gestionando reportes de satisfacción y detectando proactivamente incidencias en la logística o experiencia, para activar alertas y acciones de soporte.</w:t>
      </w:r>
    </w:p>
    <w:p>
      <w:pPr>
        <w:pStyle w:val="Heading3"/>
        <w:spacing w:before="200"/>
      </w:pPr>
    </w:p>
    <w:p>
      <w:r>
        <w:rPr>
          <w:b/>
          <w:bCs/>
        </w:rPr>
        <w:t xml:space="preserve">ComerCia Digital</w:t>
      </w:r>
      <w:r>
        <w:t xml:space="preserve"> establece que todas las capacidades de IA se rigen bajo los siguientes principios:</w:t>
      </w:r>
    </w:p>
    <w:p>
      <w:pPr>
        <w:pStyle w:val="ListParagraph"/>
        <w:numPr>
          <w:ilvl w:val="0"/>
          <w:numId w:val="1"/>
        </w:numPr>
      </w:pPr>
      <w:r>
        <w:rPr>
          <w:b/>
          <w:bCs/>
        </w:rPr>
        <w:t xml:space="preserve">Carácter Sugerido, no Impositivo:</w:t>
      </w:r>
      <w:r>
        <w:t xml:space="preserve"> Salvo que el Cliente Comerciante configure expresamente automatizaciones dentro de la plataforma, las salidas de IA (incluyendo recomendaciones de precios, segmentación, copys y respuestas sugeridas) tienen carácter </w:t>
      </w:r>
      <w:r>
        <w:rPr>
          <w:b/>
          <w:bCs/>
        </w:rPr>
        <w:t xml:space="preserve">consultivo</w:t>
      </w:r>
      <w:r>
        <w:t xml:space="preserve">. El Cliente Comerciante es el único responsable de aprobar, modificar o rechazar cualquier cambio en precios, campañas o contenidos antes de su publicación o aplicación.</w:t>
      </w:r>
    </w:p>
    <w:p>
      <w:pPr>
        <w:pStyle w:val="ListParagraph"/>
        <w:numPr>
          <w:ilvl w:val="0"/>
          <w:numId w:val="1"/>
        </w:numPr>
      </w:pPr>
      <w:r>
        <w:rPr>
          <w:b/>
          <w:bCs/>
        </w:rPr>
        <w:t xml:space="preserve">Medidas Automatizadas y Revisión Humana:</w:t>
      </w:r>
      <w:r>
        <w:t xml:space="preserve"> Algunos agentes pueden ejecutar acciones de seguridad o cumplimiento (p. ej., el </w:t>
      </w:r>
      <w:r>
        <w:rPr>
          <w:b/>
          <w:bCs/>
        </w:rPr>
        <w:t xml:space="preserve">Agente Centinela</w:t>
      </w:r>
      <w:r>
        <w:t xml:space="preserve"> al marcar/bloquear una transacción de riesgo, o el </w:t>
      </w:r>
      <w:r>
        <w:rPr>
          <w:b/>
          <w:bCs/>
        </w:rPr>
        <w:t xml:space="preserve">Agente Moderador</w:t>
      </w:r>
      <w:r>
        <w:t xml:space="preserve"> al restringir contenido potencialmente prohibido) con base en reglas y modelos algorítmicos. El usuario afectado podrá solicitar </w:t>
      </w:r>
      <w:r>
        <w:rPr>
          <w:b/>
          <w:bCs/>
        </w:rPr>
        <w:t xml:space="preserve">revisión humana</w:t>
      </w:r>
      <w:r>
        <w:t xml:space="preserve"> a través de los canales de soporte técnico de REINPIA SAS, así como aportar información complementaria para reevaluación.</w:t>
      </w:r>
    </w:p>
    <w:p>
      <w:pPr>
        <w:pStyle w:val="ListParagraph"/>
        <w:numPr>
          <w:ilvl w:val="0"/>
          <w:numId w:val="1"/>
        </w:numPr>
      </w:pPr>
      <w:r>
        <w:rPr>
          <w:b/>
          <w:bCs/>
        </w:rPr>
        <w:t xml:space="preserve">Transparencia y No Discriminación:</w:t>
      </w:r>
      <w:r>
        <w:t xml:space="preserve"> REINPIA SAS se compromete a no utilizar la IA para manipular de forma malintencionada el comportamiento del consumidor ni para realizar prácticas discriminatorias, y a aplicar controles razonables para detectar sesgos y errores.</w:t>
      </w:r>
    </w:p>
    <w:p>
      <w:pPr>
        <w:pStyle w:val="Heading3"/>
        <w:spacing w:before="200"/>
      </w:pPr>
    </w:p>
    <w:p>
      <w:r>
        <w:t xml:space="preserve">El procesamiento de datos por parte de los agentes de IA se realiza bajo estrictas medidas de seguridad y en cumplimiento con la Ley Federal de Protección de Datos Personales en Posesión de los Particulares (LFPDPPP):</w:t>
      </w:r>
    </w:p>
    <w:p>
      <w:pPr>
        <w:pStyle w:val="ListParagraph"/>
        <w:numPr>
          <w:ilvl w:val="0"/>
          <w:numId w:val="1"/>
        </w:numPr>
      </w:pPr>
      <w:r>
        <w:rPr>
          <w:b/>
          <w:bCs/>
        </w:rPr>
        <w:t xml:space="preserve">Finalidad:</w:t>
      </w:r>
      <w:r>
        <w:t xml:space="preserve"> Los datos se procesan exclusivamente para la mejora del servicio, personalización de la experiencia, automatización operativa y seguridad transaccional.</w:t>
      </w:r>
    </w:p>
    <w:p>
      <w:pPr>
        <w:pStyle w:val="ListParagraph"/>
        <w:numPr>
          <w:ilvl w:val="0"/>
          <w:numId w:val="1"/>
        </w:numPr>
      </w:pPr>
      <w:r>
        <w:rPr>
          <w:b/>
          <w:bCs/>
        </w:rPr>
        <w:t xml:space="preserve">Transparencia sobre Procesamiento Algorítmico:</w:t>
      </w:r>
      <w:r>
        <w:t xml:space="preserve"> Determinadas funcionalidades implican </w:t>
      </w:r>
      <w:r>
        <w:rPr>
          <w:b/>
          <w:bCs/>
        </w:rPr>
        <w:t xml:space="preserve">procesamiento automatizado</w:t>
      </w:r>
      <w:r>
        <w:t xml:space="preserve"> mediante algoritmos y modelos de IA (p. ej., clasificación de riesgo, moderación de contenido, sugerencias de precios, generación de textos, segmentación y priorización de incidencias). Dicho procesamiento puede incluir: (i) recolección y análisis de señales de uso (interacciones, eventos, clics, navegación), (ii) análisis de información transaccional y de catálogo, (iii) generación de inferencias o puntuaciones (scores) y (iv) emisión de recomendaciones o activación de alertas. Cuando una decisión o acción automatizada afecte materialmente al usuario (p. ej., bloqueo/restricción por riesgo o contenido), podrá solicitar explicación general de criterios y revisión humana conforme a la Sección 2 y 5.</w:t>
      </w:r>
    </w:p>
    <w:p>
      <w:pPr>
        <w:pStyle w:val="ListParagraph"/>
        <w:numPr>
          <w:ilvl w:val="0"/>
          <w:numId w:val="1"/>
        </w:numPr>
      </w:pPr>
      <w:r>
        <w:rPr>
          <w:b/>
          <w:bCs/>
        </w:rPr>
        <w:t xml:space="preserve">Entrenamiento de Modelos:</w:t>
      </w:r>
      <w:r>
        <w:t xml:space="preserve"> REINPIA SAS informa que puede utilizar datos anonimizados y/o agregados para el entrenamiento y mejora de sus modelos algorítmicos. En ningún caso se compartirán datos sensibles o información de identificación personal (PII) con modelos de terceros de forma que puedan ser rastreados hasta el usuario original sin su consentimiento.</w:t>
      </w:r>
    </w:p>
    <w:p>
      <w:pPr>
        <w:pStyle w:val="ListParagraph"/>
        <w:numPr>
          <w:ilvl w:val="0"/>
          <w:numId w:val="1"/>
        </w:numPr>
      </w:pPr>
      <w:r>
        <w:rPr>
          <w:b/>
          <w:bCs/>
        </w:rPr>
        <w:t xml:space="preserve">Terceros Proveedores:</w:t>
      </w:r>
      <w:r>
        <w:t xml:space="preserve"> Nuestra IA puede interactuar con APIs de terceros (como OpenAI, Google Cloud AI o AWS). Estas interacciones se realizan mediante protocolos cifrados y bajo acuerdos de confidencialidad y tratamiento de datos que impiden el uso de la información del cliente para fines distintos a la ejecución del servicio de ComerCia Digital.</w:t>
      </w:r>
    </w:p>
    <w:p>
      <w:pPr>
        <w:pStyle w:val="Heading3"/>
        <w:spacing w:before="200"/>
      </w:pPr>
    </w:p>
    <w:p>
      <w:r>
        <w:t xml:space="preserve">REINPIA SAS de CV trabaja diligentemente para asegurar la precisión de sus agentes de IA; no obstante, el usuario acepta que:</w:t>
      </w:r>
    </w:p>
    <w:p>
      <w:pPr>
        <w:pStyle w:val="ListParagraph"/>
        <w:numPr>
          <w:ilvl w:val="0"/>
          <w:numId w:val="1"/>
        </w:numPr>
      </w:pPr>
      <w:r>
        <w:rPr>
          <w:b/>
          <w:bCs/>
        </w:rPr>
        <w:t xml:space="preserve">Alucinaciones y Errores:</w:t>
      </w:r>
      <w:r>
        <w:t xml:space="preserve"> Los modelos de IA pueden, ocasionalmente, generar información incorrecta o imprecisa ("alucinaciones"). REINPIA SAS no se hace responsable por decisiones comerciales tomadas basadas exclusivamente en sugerencias de la IA sin verificación humana previa.</w:t>
      </w:r>
    </w:p>
    <w:p>
      <w:pPr>
        <w:pStyle w:val="ListParagraph"/>
        <w:numPr>
          <w:ilvl w:val="0"/>
          <w:numId w:val="1"/>
        </w:numPr>
      </w:pPr>
      <w:r>
        <w:rPr>
          <w:b/>
          <w:bCs/>
        </w:rPr>
        <w:t xml:space="preserve">Fallas Técnicas:</w:t>
      </w:r>
      <w:r>
        <w:t xml:space="preserve"> La disponibilidad de los agentes de IA depende de proveedores de infraestructura tecnológica. REINPIA SAS no garantiza la operatividad ininterrumpida de los agentes en caso de fallas globales en dichos servicios de terceros.</w:t>
      </w:r>
    </w:p>
    <w:p>
      <w:pPr>
        <w:pStyle w:val="ListParagraph"/>
        <w:numPr>
          <w:ilvl w:val="0"/>
          <w:numId w:val="1"/>
        </w:numPr>
      </w:pPr>
      <w:r>
        <w:rPr>
          <w:b/>
          <w:bCs/>
        </w:rPr>
        <w:t xml:space="preserve">Responsabilidad Comercial:</w:t>
      </w:r>
      <w:r>
        <w:t xml:space="preserve"> El Cliente Comerciante es el único responsable legal frente a terceros y autoridades por el contenido generado por la IA que decida publicar, así como por los precios dinámicos que decida implementar.</w:t>
      </w:r>
    </w:p>
    <w:p>
      <w:pPr>
        <w:pStyle w:val="Heading3"/>
        <w:spacing w:before="200"/>
      </w:pPr>
    </w:p>
    <w:p>
      <w:r>
        <w:t xml:space="preserve">Cualquier usuario de la plataforma podrá:</w:t>
      </w:r>
    </w:p>
    <w:p>
      <w:pPr>
        <w:pStyle w:val="ListParagraph"/>
        <w:numPr>
          <w:ilvl w:val="0"/>
          <w:numId w:val="1"/>
        </w:numPr>
      </w:pPr>
      <w:r>
        <w:t xml:space="preserve">Solicitar información sobre la lógica aplicada por los algoritmos en decisiones que le afecten directamente.</w:t>
      </w:r>
    </w:p>
    <w:p>
      <w:pPr>
        <w:pStyle w:val="ListParagraph"/>
        <w:numPr>
          <w:ilvl w:val="0"/>
          <w:numId w:val="1"/>
        </w:numPr>
      </w:pPr>
      <w:r>
        <w:t xml:space="preserve">Desactivar módulos específicos de IA dentro de su panel de configuración (sujeto a la naturaleza del plan contratado y la viabilidad técnica).</w:t>
      </w:r>
    </w:p>
    <w:p>
      <w:pPr>
        <w:pStyle w:val="ListParagraph"/>
        <w:numPr>
          <w:ilvl w:val="0"/>
          <w:numId w:val="1"/>
        </w:numPr>
      </w:pPr>
      <w:r>
        <w:t xml:space="preserve">Ejercer sus derechos ARCO respecto a los datos procesados por estos sistemas.</w:t>
      </w:r>
    </w:p>
    <w:p>
      <w:r>
        <w:t xml:space="preserve">Para cualquier duda o aclaración sobre este aviso, por favor contacte a nuestro Agente Legal en: </w:t>
      </w:r>
      <w:r>
        <w:rPr>
          <w:b/>
          <w:bCs/>
        </w:rPr>
        <w:t xml:space="preserve">contacto@reinpia.com</w:t>
      </w:r>
      <w:r>
        <w:t xml:space="preserve">.</w:t>
      </w:r>
    </w:p>
    <w:p>
      <w:r>
        <w:rPr>
          <w:i/>
          <w:iCs/>
        </w:rPr>
        <w:t xml:space="preserve">Al continuar utilizando la plataforma ComerCia Digital, usted confirma que ha leído, comprendido y aceptado los términos de este Aviso de Uso de Inteligencia Artificial.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2026-06-04T19:38:36.689Z</dcterms:created>
  <dcterms:modified xsi:type="dcterms:W3CDTF">2026-06-04T19:38:36.689Z</dcterms:modified>
</cp:coreProperties>
</file>

<file path=docProps/custom.xml><?xml version="1.0" encoding="utf-8"?>
<Properties xmlns="http://schemas.openxmlformats.org/officeDocument/2006/custom-properties" xmlns:vt="http://schemas.openxmlformats.org/officeDocument/2006/docPropsVTypes"/>
</file>